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915C5" w14:textId="4A474618" w:rsidR="007478E4" w:rsidRDefault="007478E4" w:rsidP="007816D7">
      <w:pPr>
        <w:pStyle w:val="NoSpacing"/>
        <w:jc w:val="center"/>
        <w:rPr>
          <w:rFonts w:ascii="Arial" w:hAnsi="Arial" w:cs="Arial"/>
          <w:b/>
          <w:bCs/>
        </w:rPr>
      </w:pPr>
      <w:r>
        <w:rPr>
          <w:rFonts w:ascii="Times New Roman"/>
          <w:noProof/>
          <w:sz w:val="20"/>
        </w:rPr>
        <w:drawing>
          <wp:inline distT="0" distB="0" distL="0" distR="0" wp14:anchorId="2B58E475" wp14:editId="0C4118E6">
            <wp:extent cx="1712462" cy="2105215"/>
            <wp:effectExtent l="0" t="0" r="0" b="0"/>
            <wp:docPr id="1554229067" name="Picture 1" descr="A group of logos with text&#10;&#10;Description automatically generated">
              <a:extLst xmlns:a="http://schemas.openxmlformats.org/drawingml/2006/main">
                <a:ext uri="{FF2B5EF4-FFF2-40B4-BE49-F238E27FC236}">
                  <a16:creationId xmlns:a16="http://schemas.microsoft.com/office/drawing/2014/main" id="{4A9C9949-0582-469D-AA11-25B6A85DB5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94963" name="Picture 1" descr="A group of logos with text&#10;&#10;Description automatically generated"/>
                    <pic:cNvPicPr/>
                  </pic:nvPicPr>
                  <pic:blipFill>
                    <a:blip r:embed="rId6" cstate="print"/>
                    <a:stretch>
                      <a:fillRect/>
                    </a:stretch>
                  </pic:blipFill>
                  <pic:spPr>
                    <a:xfrm>
                      <a:off x="0" y="0"/>
                      <a:ext cx="1712462" cy="2105215"/>
                    </a:xfrm>
                    <a:prstGeom prst="rect">
                      <a:avLst/>
                    </a:prstGeom>
                  </pic:spPr>
                </pic:pic>
              </a:graphicData>
            </a:graphic>
          </wp:inline>
        </w:drawing>
      </w:r>
    </w:p>
    <w:p w14:paraId="34388BAA" w14:textId="77777777" w:rsidR="007478E4" w:rsidRDefault="007478E4" w:rsidP="007816D7">
      <w:pPr>
        <w:pStyle w:val="NoSpacing"/>
        <w:jc w:val="center"/>
        <w:rPr>
          <w:rFonts w:ascii="Arial" w:hAnsi="Arial" w:cs="Arial"/>
          <w:b/>
          <w:bCs/>
          <w:lang w:eastAsia="el-GR"/>
        </w:rPr>
      </w:pPr>
    </w:p>
    <w:p w14:paraId="7FFF0034" w14:textId="77777777" w:rsidR="00E33DBC" w:rsidRDefault="00E33DBC" w:rsidP="007816D7">
      <w:pPr>
        <w:pStyle w:val="NoSpacing"/>
        <w:jc w:val="center"/>
        <w:rPr>
          <w:rFonts w:ascii="Arial" w:hAnsi="Arial" w:cs="Arial"/>
          <w:b/>
          <w:bCs/>
          <w:lang w:eastAsia="el-GR"/>
        </w:rPr>
      </w:pPr>
    </w:p>
    <w:p w14:paraId="154FEAA9" w14:textId="77777777" w:rsidR="00E33DBC" w:rsidRDefault="00E33DBC" w:rsidP="007816D7">
      <w:pPr>
        <w:pStyle w:val="NoSpacing"/>
        <w:jc w:val="center"/>
        <w:rPr>
          <w:rFonts w:ascii="Arial" w:hAnsi="Arial" w:cs="Arial"/>
          <w:b/>
          <w:bCs/>
          <w:lang w:eastAsia="el-GR"/>
        </w:rPr>
      </w:pPr>
    </w:p>
    <w:p w14:paraId="46CADF43" w14:textId="7DA6C648" w:rsidR="009816CE" w:rsidRPr="001314BA" w:rsidRDefault="009816CE" w:rsidP="009816CE">
      <w:pPr>
        <w:jc w:val="right"/>
        <w:rPr>
          <w:rFonts w:ascii="Arial" w:hAnsi="Arial" w:cs="Arial"/>
          <w:bCs/>
        </w:rPr>
      </w:pPr>
      <w:r>
        <w:rPr>
          <w:rFonts w:ascii="Arial" w:hAnsi="Arial"/>
        </w:rPr>
        <w:t>Athens, June 08, 2025</w:t>
      </w:r>
    </w:p>
    <w:p w14:paraId="56B85CA8" w14:textId="77777777" w:rsidR="009816CE" w:rsidRPr="001314BA" w:rsidRDefault="009816CE" w:rsidP="005D70A7">
      <w:pPr>
        <w:pStyle w:val="NoSpacing"/>
        <w:jc w:val="right"/>
        <w:rPr>
          <w:rFonts w:ascii="Arial" w:hAnsi="Arial" w:cs="Arial"/>
          <w:b/>
          <w:bCs/>
          <w:lang w:eastAsia="el-GR"/>
        </w:rPr>
      </w:pPr>
    </w:p>
    <w:p w14:paraId="56214FCC" w14:textId="77777777" w:rsidR="009816CE" w:rsidRPr="001314BA" w:rsidRDefault="009816CE" w:rsidP="007816D7">
      <w:pPr>
        <w:pStyle w:val="NoSpacing"/>
        <w:jc w:val="center"/>
        <w:rPr>
          <w:rFonts w:ascii="Arial" w:hAnsi="Arial" w:cs="Arial"/>
          <w:b/>
          <w:bCs/>
          <w:lang w:eastAsia="el-GR"/>
        </w:rPr>
      </w:pPr>
    </w:p>
    <w:p w14:paraId="2B371502" w14:textId="223710A6" w:rsidR="00EE123E" w:rsidRPr="001314BA" w:rsidRDefault="00565184" w:rsidP="007816D7">
      <w:pPr>
        <w:pStyle w:val="NoSpacing"/>
        <w:jc w:val="center"/>
        <w:rPr>
          <w:rFonts w:ascii="Arial" w:hAnsi="Arial" w:cs="Arial"/>
          <w:b/>
          <w:bCs/>
        </w:rPr>
      </w:pPr>
      <w:r>
        <w:rPr>
          <w:rFonts w:ascii="Arial" w:hAnsi="Arial"/>
          <w:b/>
        </w:rPr>
        <w:t xml:space="preserve">Attica Group: Release of the 16th Responsible and Sustainable Development </w:t>
      </w:r>
      <w:r w:rsidR="00236F70">
        <w:rPr>
          <w:rFonts w:ascii="Arial" w:hAnsi="Arial"/>
          <w:b/>
        </w:rPr>
        <w:t>Report</w:t>
      </w:r>
    </w:p>
    <w:p w14:paraId="14A9EEC8" w14:textId="02D9E413" w:rsidR="00EE123E" w:rsidRPr="001314BA" w:rsidRDefault="00EE123E" w:rsidP="007816D7">
      <w:pPr>
        <w:pStyle w:val="NoSpacing"/>
        <w:jc w:val="center"/>
        <w:rPr>
          <w:rFonts w:ascii="Arial" w:hAnsi="Arial" w:cs="Arial"/>
          <w:b/>
          <w:bCs/>
          <w:lang w:eastAsia="el-GR"/>
        </w:rPr>
      </w:pPr>
    </w:p>
    <w:p w14:paraId="3F1B477C" w14:textId="77777777" w:rsidR="00226168" w:rsidRPr="001314BA" w:rsidRDefault="00226168" w:rsidP="007816D7">
      <w:pPr>
        <w:pStyle w:val="NoSpacing"/>
        <w:jc w:val="center"/>
        <w:rPr>
          <w:rFonts w:ascii="Arial" w:hAnsi="Arial" w:cs="Arial"/>
          <w:b/>
          <w:bCs/>
          <w:lang w:eastAsia="el-GR"/>
        </w:rPr>
      </w:pPr>
    </w:p>
    <w:p w14:paraId="0729E3E6" w14:textId="3A34B605" w:rsidR="00226168" w:rsidRPr="001314BA" w:rsidRDefault="00842D13" w:rsidP="5F4171F4">
      <w:pPr>
        <w:pStyle w:val="NoSpacing"/>
        <w:jc w:val="center"/>
        <w:rPr>
          <w:rFonts w:ascii="Arial" w:hAnsi="Arial" w:cs="Arial"/>
          <w:b/>
          <w:bCs/>
        </w:rPr>
      </w:pPr>
      <w:r>
        <w:rPr>
          <w:rFonts w:ascii="Arial" w:hAnsi="Arial"/>
          <w:b/>
        </w:rPr>
        <w:t>f</w:t>
      </w:r>
      <w:r w:rsidR="00EA4DB4">
        <w:rPr>
          <w:rFonts w:ascii="Arial" w:hAnsi="Arial"/>
          <w:b/>
        </w:rPr>
        <w:t>or the second consecutive year, ranked among the world’s leading companies according to</w:t>
      </w:r>
      <w:r w:rsidR="00A832A4">
        <w:rPr>
          <w:rFonts w:ascii="Arial" w:hAnsi="Arial"/>
          <w:b/>
        </w:rPr>
        <w:t xml:space="preserve"> </w:t>
      </w:r>
      <w:r w:rsidR="00EA4DB4">
        <w:rPr>
          <w:rFonts w:ascii="Arial" w:hAnsi="Arial"/>
          <w:b/>
        </w:rPr>
        <w:t xml:space="preserve">Standard &amp; Poor’s </w:t>
      </w:r>
      <w:r w:rsidR="00A832A4">
        <w:rPr>
          <w:rFonts w:ascii="Arial" w:hAnsi="Arial"/>
          <w:b/>
        </w:rPr>
        <w:t>assessment</w:t>
      </w:r>
    </w:p>
    <w:p w14:paraId="0E678D99" w14:textId="77777777" w:rsidR="00EE123E" w:rsidRPr="001314BA" w:rsidRDefault="00EE123E" w:rsidP="00AA3762">
      <w:pPr>
        <w:pStyle w:val="NoSpacing"/>
        <w:rPr>
          <w:rFonts w:ascii="Arial" w:hAnsi="Arial" w:cs="Arial"/>
          <w:b/>
          <w:bCs/>
          <w:lang w:eastAsia="el-GR"/>
        </w:rPr>
      </w:pPr>
    </w:p>
    <w:p w14:paraId="096942EC" w14:textId="59A09345" w:rsidR="001F7CB3" w:rsidRPr="001314BA" w:rsidRDefault="001F7CB3" w:rsidP="00565184">
      <w:pPr>
        <w:pStyle w:val="NoSpacing"/>
        <w:jc w:val="center"/>
        <w:rPr>
          <w:rFonts w:ascii="Arial" w:hAnsi="Arial" w:cs="Arial"/>
          <w:b/>
          <w:bCs/>
          <w:i/>
          <w:iCs/>
          <w:color w:val="EE0000"/>
          <w:lang w:eastAsia="el-GR"/>
        </w:rPr>
      </w:pPr>
    </w:p>
    <w:p w14:paraId="5C0B115F" w14:textId="4CC5D0B1" w:rsidR="00C559F1" w:rsidRPr="001314BA" w:rsidRDefault="07DDB99A" w:rsidP="001314BA">
      <w:pPr>
        <w:pStyle w:val="NoSpacing"/>
        <w:spacing w:line="360" w:lineRule="auto"/>
        <w:jc w:val="both"/>
        <w:rPr>
          <w:rFonts w:ascii="Arial" w:hAnsi="Arial" w:cs="Arial"/>
        </w:rPr>
      </w:pPr>
      <w:r>
        <w:rPr>
          <w:rFonts w:ascii="Arial" w:hAnsi="Arial"/>
        </w:rPr>
        <w:t xml:space="preserve">With a clear sense </w:t>
      </w:r>
      <w:r w:rsidR="00124B45">
        <w:rPr>
          <w:rFonts w:ascii="Arial" w:hAnsi="Arial"/>
        </w:rPr>
        <w:t xml:space="preserve">of </w:t>
      </w:r>
      <w:r>
        <w:rPr>
          <w:rFonts w:ascii="Arial" w:hAnsi="Arial"/>
        </w:rPr>
        <w:t>responsibility</w:t>
      </w:r>
      <w:r w:rsidR="00A6211D">
        <w:rPr>
          <w:rFonts w:ascii="Arial" w:hAnsi="Arial"/>
        </w:rPr>
        <w:t xml:space="preserve"> for </w:t>
      </w:r>
      <w:r>
        <w:rPr>
          <w:rFonts w:ascii="Arial" w:hAnsi="Arial"/>
        </w:rPr>
        <w:t>Attica Group</w:t>
      </w:r>
      <w:r w:rsidR="00926A27">
        <w:rPr>
          <w:rFonts w:ascii="Arial" w:hAnsi="Arial"/>
        </w:rPr>
        <w:t xml:space="preserve">, </w:t>
      </w:r>
      <w:r>
        <w:rPr>
          <w:rFonts w:ascii="Arial" w:hAnsi="Arial"/>
        </w:rPr>
        <w:t xml:space="preserve">the leader in Greek </w:t>
      </w:r>
      <w:r w:rsidR="00926A27">
        <w:rPr>
          <w:rFonts w:ascii="Arial" w:hAnsi="Arial"/>
        </w:rPr>
        <w:t xml:space="preserve">passenger </w:t>
      </w:r>
      <w:r>
        <w:rPr>
          <w:rFonts w:ascii="Arial" w:hAnsi="Arial"/>
        </w:rPr>
        <w:t>shipping</w:t>
      </w:r>
      <w:r w:rsidR="00926A27">
        <w:rPr>
          <w:rFonts w:ascii="Arial" w:hAnsi="Arial"/>
        </w:rPr>
        <w:t xml:space="preserve"> sector</w:t>
      </w:r>
      <w:r>
        <w:rPr>
          <w:rFonts w:ascii="Arial" w:hAnsi="Arial"/>
        </w:rPr>
        <w:t xml:space="preserve"> and one of the largest passenger shipping companies worldwide, the principles of Responsible and Sustainable Development remain inextricably linked to the Group’s business strategy and activity, </w:t>
      </w:r>
      <w:r w:rsidR="00CE38F2">
        <w:rPr>
          <w:rFonts w:ascii="Arial" w:hAnsi="Arial"/>
        </w:rPr>
        <w:t xml:space="preserve">for the achievement of </w:t>
      </w:r>
      <w:r>
        <w:rPr>
          <w:rFonts w:ascii="Arial" w:hAnsi="Arial"/>
        </w:rPr>
        <w:t xml:space="preserve">economic results and </w:t>
      </w:r>
      <w:r w:rsidR="009B6798">
        <w:rPr>
          <w:rFonts w:ascii="Arial" w:hAnsi="Arial"/>
        </w:rPr>
        <w:t xml:space="preserve">the creation </w:t>
      </w:r>
      <w:r>
        <w:rPr>
          <w:rFonts w:ascii="Arial" w:hAnsi="Arial"/>
        </w:rPr>
        <w:t xml:space="preserve">value for </w:t>
      </w:r>
      <w:r w:rsidR="00E761E7">
        <w:rPr>
          <w:rFonts w:ascii="Arial" w:hAnsi="Arial"/>
        </w:rPr>
        <w:t xml:space="preserve">the </w:t>
      </w:r>
      <w:r>
        <w:rPr>
          <w:rFonts w:ascii="Arial" w:hAnsi="Arial"/>
        </w:rPr>
        <w:t xml:space="preserve">stakeholders. This strong commitment is reflected in all aspects of Attica Group’s operation with steady and strong performance across all ESG indicators as reflected in the </w:t>
      </w:r>
      <w:hyperlink r:id="rId7" w:history="1">
        <w:r w:rsidR="002B2C61">
          <w:rPr>
            <w:color w:val="0000FF"/>
            <w:u w:val="single"/>
          </w:rPr>
          <w:t xml:space="preserve">16th Responsibility and Sustainability Report 2024 </w:t>
        </w:r>
      </w:hyperlink>
      <w:r>
        <w:rPr>
          <w:rFonts w:ascii="Arial" w:hAnsi="Arial"/>
        </w:rPr>
        <w:t>recently published.</w:t>
      </w:r>
    </w:p>
    <w:p w14:paraId="7141A8BA" w14:textId="77777777" w:rsidR="00C559F1" w:rsidRPr="001314BA" w:rsidRDefault="00C559F1" w:rsidP="001314BA">
      <w:pPr>
        <w:pStyle w:val="NoSpacing"/>
        <w:spacing w:line="360" w:lineRule="auto"/>
        <w:rPr>
          <w:rFonts w:ascii="Arial" w:hAnsi="Arial" w:cs="Arial"/>
          <w:lang w:eastAsia="el-GR"/>
        </w:rPr>
      </w:pPr>
    </w:p>
    <w:p w14:paraId="15EA49D2" w14:textId="544F4CA6" w:rsidR="00034B1F" w:rsidRPr="001314BA" w:rsidRDefault="00E44585" w:rsidP="001314BA">
      <w:pPr>
        <w:spacing w:after="0" w:line="360" w:lineRule="auto"/>
        <w:jc w:val="both"/>
        <w:rPr>
          <w:rFonts w:ascii="Arial" w:eastAsia="Aptos" w:hAnsi="Arial" w:cs="Arial"/>
        </w:rPr>
      </w:pPr>
      <w:r>
        <w:rPr>
          <w:rFonts w:ascii="Arial" w:hAnsi="Arial"/>
        </w:rPr>
        <w:t>The Group’s high performance and the effectiveness of the planning and implementation of the Responsible and Sustainable Development strategy were confirmed for a second consecutive year, in 2024, within the framework of the assessment by Standard &amp; Poor’s Global Corporate Sustainability Assessment (CSA), which ranks Attica Group within the top 23% of leading companies worldwide in the broader industry sector of Transportation and Transportation Infrastructure. At the same time, the assessment of S&amp;P ESG Score improved by 19.4% compared to 2023, highlighting the Group’s commitment to continuous improvement and compliance with international sustainability standards.</w:t>
      </w:r>
    </w:p>
    <w:p w14:paraId="4996D677" w14:textId="77777777" w:rsidR="00034B1F" w:rsidRPr="001314BA" w:rsidRDefault="00034B1F" w:rsidP="001314BA">
      <w:pPr>
        <w:pStyle w:val="NoSpacing"/>
        <w:spacing w:line="360" w:lineRule="auto"/>
        <w:rPr>
          <w:rFonts w:ascii="Arial" w:hAnsi="Arial" w:cs="Arial"/>
          <w:lang w:eastAsia="el-GR"/>
        </w:rPr>
      </w:pPr>
    </w:p>
    <w:p w14:paraId="0B16A244" w14:textId="14E51B33" w:rsidR="002D3982" w:rsidRPr="001314BA" w:rsidRDefault="00C63784" w:rsidP="001314BA">
      <w:pPr>
        <w:spacing w:after="0" w:line="360" w:lineRule="auto"/>
        <w:jc w:val="both"/>
        <w:rPr>
          <w:rFonts w:ascii="Arial" w:eastAsia="Aptos" w:hAnsi="Arial" w:cs="Arial"/>
        </w:rPr>
      </w:pPr>
      <w:r>
        <w:rPr>
          <w:rFonts w:ascii="Arial" w:hAnsi="Arial"/>
        </w:rPr>
        <w:t>As reflected in the 16th Responsible and Sustainable Development Report, in the field of</w:t>
      </w:r>
      <w:r>
        <w:rPr>
          <w:rFonts w:ascii="Arial" w:hAnsi="Arial"/>
          <w:b/>
        </w:rPr>
        <w:t xml:space="preserve"> “Environment”</w:t>
      </w:r>
      <w:r>
        <w:rPr>
          <w:rFonts w:ascii="Arial" w:hAnsi="Arial"/>
        </w:rPr>
        <w:t xml:space="preserve">, enhancing fleet energy efficiency and minimizing environmental impact on land and at sea remain constant priorities. Faithful to the </w:t>
      </w:r>
      <w:r>
        <w:rPr>
          <w:rFonts w:ascii="Arial" w:hAnsi="Arial"/>
          <w:b/>
        </w:rPr>
        <w:t xml:space="preserve">commitment to reducing carbon emissions per mile by 14% by 2030 </w:t>
      </w:r>
      <w:r>
        <w:rPr>
          <w:rFonts w:ascii="Arial" w:hAnsi="Arial"/>
        </w:rPr>
        <w:t xml:space="preserve">compared to 2019, as set out in the Decarbonization Roadmap, planned and implemented since 2022, Attica Group remains consistent with meeting intermediate targets through the implementation of a multi-level strategy.  </w:t>
      </w:r>
    </w:p>
    <w:p w14:paraId="281EFC6D" w14:textId="77777777" w:rsidR="00001E0F" w:rsidRPr="001314BA" w:rsidRDefault="00001E0F" w:rsidP="001314BA">
      <w:pPr>
        <w:spacing w:after="0" w:line="360" w:lineRule="auto"/>
        <w:jc w:val="both"/>
        <w:rPr>
          <w:rFonts w:ascii="Arial" w:eastAsia="Aptos" w:hAnsi="Arial" w:cs="Arial"/>
          <w:lang w:eastAsia="el-GR"/>
        </w:rPr>
      </w:pPr>
    </w:p>
    <w:p w14:paraId="4E39D2CB" w14:textId="371E112B" w:rsidR="001F7CB3" w:rsidRPr="001314BA" w:rsidRDefault="07DDB99A" w:rsidP="001314BA">
      <w:pPr>
        <w:spacing w:after="0" w:line="360" w:lineRule="auto"/>
        <w:jc w:val="both"/>
        <w:rPr>
          <w:rFonts w:ascii="Arial" w:eastAsia="Aptos" w:hAnsi="Arial" w:cs="Arial"/>
        </w:rPr>
      </w:pPr>
      <w:r>
        <w:rPr>
          <w:rFonts w:ascii="Arial" w:hAnsi="Arial"/>
        </w:rPr>
        <w:t xml:space="preserve">In 2024, it was the </w:t>
      </w:r>
      <w:r>
        <w:rPr>
          <w:rFonts w:ascii="Arial" w:hAnsi="Arial"/>
          <w:b/>
          <w:bCs/>
        </w:rPr>
        <w:t>first company in Greece to include a comprehensive Climate Change Study</w:t>
      </w:r>
      <w:r>
        <w:rPr>
          <w:rFonts w:ascii="Arial" w:hAnsi="Arial"/>
        </w:rPr>
        <w:t xml:space="preserve"> in its 2024 Financial Statements. Based on the findings of this Study, a dedicated policy was developed, with the primary objective of actively contributing to the mitigation and/or elimination of the impacts of climate change. For the first time, short, medium and long-term scenarios were taken into account (with an increase in global average temperature of 1.5°C, 2°C and 3°C) in order to assess future risks and opportunities.  </w:t>
      </w:r>
    </w:p>
    <w:p w14:paraId="2E35E34A" w14:textId="77777777" w:rsidR="008E5498" w:rsidRDefault="008E5498" w:rsidP="001314BA">
      <w:pPr>
        <w:spacing w:after="0" w:line="360" w:lineRule="auto"/>
        <w:jc w:val="both"/>
        <w:rPr>
          <w:rFonts w:ascii="Arial" w:eastAsia="Aptos" w:hAnsi="Arial" w:cs="Arial"/>
          <w:lang w:eastAsia="el-GR"/>
        </w:rPr>
      </w:pPr>
    </w:p>
    <w:p w14:paraId="6C81C2D1" w14:textId="3497B797" w:rsidR="00DD2C36" w:rsidRPr="001314BA" w:rsidRDefault="0085378B" w:rsidP="001314BA">
      <w:pPr>
        <w:spacing w:after="0" w:line="360" w:lineRule="auto"/>
        <w:jc w:val="both"/>
        <w:rPr>
          <w:rFonts w:ascii="Arial" w:eastAsia="Aptos" w:hAnsi="Arial" w:cs="Arial"/>
        </w:rPr>
      </w:pPr>
      <w:r>
        <w:rPr>
          <w:rFonts w:ascii="Arial" w:hAnsi="Arial"/>
        </w:rPr>
        <w:t>The footprint is also significant in the</w:t>
      </w:r>
      <w:r>
        <w:rPr>
          <w:rFonts w:ascii="Arial" w:hAnsi="Arial"/>
          <w:b/>
        </w:rPr>
        <w:t xml:space="preserve"> “Society”</w:t>
      </w:r>
      <w:r>
        <w:rPr>
          <w:rFonts w:ascii="Arial" w:hAnsi="Arial"/>
        </w:rPr>
        <w:t xml:space="preserve"> area, as the financial value distributed totally by the Group for employees, taxes, capital providers, agents, suppliers, society and investments amounted to </w:t>
      </w:r>
      <w:r>
        <w:rPr>
          <w:rFonts w:ascii="Arial" w:hAnsi="Arial"/>
          <w:b/>
          <w:bCs/>
        </w:rPr>
        <w:t>€</w:t>
      </w:r>
      <w:r>
        <w:rPr>
          <w:rFonts w:ascii="Arial" w:hAnsi="Arial"/>
        </w:rPr>
        <w:t xml:space="preserve"> </w:t>
      </w:r>
      <w:r>
        <w:rPr>
          <w:rFonts w:ascii="Arial" w:hAnsi="Arial"/>
          <w:b/>
        </w:rPr>
        <w:t>974.5 million, an increase of 43.2% compared to 2023</w:t>
      </w:r>
      <w:r>
        <w:rPr>
          <w:rFonts w:ascii="Arial" w:hAnsi="Arial"/>
        </w:rPr>
        <w:t xml:space="preserve">. </w:t>
      </w:r>
    </w:p>
    <w:p w14:paraId="60D8679B" w14:textId="77777777" w:rsidR="00144BAD" w:rsidRPr="001314BA" w:rsidRDefault="00144BAD" w:rsidP="001314BA">
      <w:pPr>
        <w:spacing w:after="0" w:line="360" w:lineRule="auto"/>
        <w:jc w:val="both"/>
        <w:rPr>
          <w:rFonts w:ascii="Arial" w:eastAsia="Aptos" w:hAnsi="Arial" w:cs="Arial"/>
          <w:lang w:eastAsia="el-GR"/>
        </w:rPr>
      </w:pPr>
    </w:p>
    <w:p w14:paraId="0E4D93FD" w14:textId="43B38ABC" w:rsidR="00144BAD" w:rsidRDefault="07DDB99A" w:rsidP="001314BA">
      <w:pPr>
        <w:spacing w:after="0" w:line="360" w:lineRule="auto"/>
        <w:jc w:val="both"/>
        <w:rPr>
          <w:rFonts w:ascii="Arial" w:eastAsia="Aptos" w:hAnsi="Arial" w:cs="Arial"/>
        </w:rPr>
      </w:pPr>
      <w:r>
        <w:rPr>
          <w:rFonts w:ascii="Arial" w:hAnsi="Arial"/>
        </w:rPr>
        <w:t xml:space="preserve">Showing respect to its passengers and the vital role it plays in ensuring connectivity, </w:t>
      </w:r>
      <w:r>
        <w:rPr>
          <w:rFonts w:ascii="Arial" w:hAnsi="Arial"/>
          <w:b/>
        </w:rPr>
        <w:t xml:space="preserve">it more than doubled the number of discounted tickets offered to support social programs </w:t>
      </w:r>
      <w:r>
        <w:rPr>
          <w:rFonts w:ascii="Arial" w:hAnsi="Arial"/>
        </w:rPr>
        <w:t xml:space="preserve">(indicatively Non-Governmental Organizations, sports/cultural associations, etc.) from 120,000 tickets in 2023 to </w:t>
      </w:r>
      <w:r>
        <w:rPr>
          <w:rFonts w:ascii="Arial" w:hAnsi="Arial"/>
          <w:b/>
        </w:rPr>
        <w:t>320,000</w:t>
      </w:r>
      <w:r>
        <w:rPr>
          <w:rFonts w:ascii="Arial" w:hAnsi="Arial"/>
        </w:rPr>
        <w:t xml:space="preserve"> in 2024 (an increase of 163%), with the corresponding value of discounts rising from EUR 3.3 million</w:t>
      </w:r>
      <w:r>
        <w:rPr>
          <w:rFonts w:ascii="Arial" w:hAnsi="Arial"/>
          <w:b/>
        </w:rPr>
        <w:t xml:space="preserve"> </w:t>
      </w:r>
      <w:r>
        <w:rPr>
          <w:rFonts w:ascii="Arial" w:hAnsi="Arial"/>
        </w:rPr>
        <w:t xml:space="preserve">in 2023, to </w:t>
      </w:r>
      <w:r>
        <w:rPr>
          <w:rFonts w:ascii="Arial" w:hAnsi="Arial"/>
          <w:b/>
          <w:bCs/>
        </w:rPr>
        <w:t>€</w:t>
      </w:r>
      <w:r>
        <w:rPr>
          <w:rFonts w:ascii="Arial" w:hAnsi="Arial"/>
        </w:rPr>
        <w:t xml:space="preserve"> </w:t>
      </w:r>
      <w:r>
        <w:rPr>
          <w:rFonts w:ascii="Arial" w:hAnsi="Arial"/>
          <w:b/>
        </w:rPr>
        <w:t xml:space="preserve">7.7 million </w:t>
      </w:r>
      <w:r>
        <w:rPr>
          <w:rFonts w:ascii="Arial" w:hAnsi="Arial"/>
        </w:rPr>
        <w:t xml:space="preserve">in </w:t>
      </w:r>
      <w:r>
        <w:rPr>
          <w:rFonts w:ascii="Arial" w:hAnsi="Arial"/>
          <w:b/>
        </w:rPr>
        <w:t>2024</w:t>
      </w:r>
      <w:r>
        <w:rPr>
          <w:rFonts w:ascii="Arial" w:hAnsi="Arial"/>
        </w:rPr>
        <w:t xml:space="preserve">. Overall, the </w:t>
      </w:r>
      <w:r>
        <w:rPr>
          <w:rFonts w:ascii="Arial" w:hAnsi="Arial"/>
          <w:b/>
        </w:rPr>
        <w:t>value of the social contribution amounted to €8m.</w:t>
      </w:r>
    </w:p>
    <w:p w14:paraId="3AB0527F" w14:textId="77777777" w:rsidR="001314BA" w:rsidRPr="001314BA" w:rsidRDefault="001314BA" w:rsidP="001314BA">
      <w:pPr>
        <w:spacing w:after="0" w:line="360" w:lineRule="auto"/>
        <w:jc w:val="both"/>
        <w:rPr>
          <w:rFonts w:ascii="Arial" w:eastAsia="Aptos" w:hAnsi="Arial" w:cs="Arial"/>
          <w:lang w:eastAsia="el-GR"/>
        </w:rPr>
      </w:pPr>
    </w:p>
    <w:p w14:paraId="3114BEBE" w14:textId="40C2325C" w:rsidR="00A06E78" w:rsidRPr="001314BA" w:rsidRDefault="00A06E78" w:rsidP="001314BA">
      <w:pPr>
        <w:spacing w:after="0" w:line="360" w:lineRule="auto"/>
        <w:jc w:val="both"/>
        <w:rPr>
          <w:rFonts w:ascii="Arial" w:eastAsia="Aptos" w:hAnsi="Arial" w:cs="Arial"/>
        </w:rPr>
      </w:pPr>
      <w:r>
        <w:rPr>
          <w:rFonts w:ascii="Arial" w:hAnsi="Arial"/>
        </w:rPr>
        <w:t>It is worth noting that in the context of the expanded commercial and social program of offers and discounts implemented by the Group in 2024, more than 3.6 million passengers benefited from discounts with a total value of more than €100 million.</w:t>
      </w:r>
    </w:p>
    <w:p w14:paraId="3E029829" w14:textId="77777777" w:rsidR="00127816" w:rsidRPr="001314BA" w:rsidRDefault="00127816" w:rsidP="001314BA">
      <w:pPr>
        <w:spacing w:after="0" w:line="360" w:lineRule="auto"/>
        <w:jc w:val="both"/>
        <w:rPr>
          <w:rFonts w:ascii="Arial" w:eastAsia="Aptos" w:hAnsi="Arial" w:cs="Arial"/>
          <w:lang w:eastAsia="el-GR"/>
        </w:rPr>
      </w:pPr>
    </w:p>
    <w:p w14:paraId="03205066" w14:textId="61B493DC" w:rsidR="00E571DB" w:rsidRPr="001314BA" w:rsidRDefault="00D16248" w:rsidP="001314BA">
      <w:pPr>
        <w:spacing w:after="0" w:line="360" w:lineRule="auto"/>
        <w:jc w:val="both"/>
        <w:rPr>
          <w:rFonts w:ascii="Arial" w:eastAsia="Aptos" w:hAnsi="Arial" w:cs="Arial"/>
        </w:rPr>
      </w:pPr>
      <w:r>
        <w:rPr>
          <w:rFonts w:ascii="Arial" w:hAnsi="Arial"/>
        </w:rPr>
        <w:t xml:space="preserve">Attica Group, being the biggest employer of Greek seafarers and employing more than 3,000 employees, sets as strategic priority the continuous development of the Group’s </w:t>
      </w:r>
      <w:r>
        <w:rPr>
          <w:rFonts w:ascii="Arial" w:hAnsi="Arial"/>
        </w:rPr>
        <w:lastRenderedPageBreak/>
        <w:t xml:space="preserve">people. In 2024, through a targeted skills acquisition and upgrading program, </w:t>
      </w:r>
      <w:r>
        <w:rPr>
          <w:rFonts w:ascii="Arial" w:hAnsi="Arial"/>
          <w:b/>
        </w:rPr>
        <w:t>more than 14,000 hours of training</w:t>
      </w:r>
      <w:r>
        <w:rPr>
          <w:rFonts w:ascii="Arial" w:hAnsi="Arial"/>
        </w:rPr>
        <w:t xml:space="preserve"> were completed.</w:t>
      </w:r>
    </w:p>
    <w:p w14:paraId="1660A248" w14:textId="77777777" w:rsidR="008E0A6A" w:rsidRPr="001314BA" w:rsidRDefault="008E0A6A" w:rsidP="001314BA">
      <w:pPr>
        <w:spacing w:after="0" w:line="360" w:lineRule="auto"/>
        <w:jc w:val="both"/>
        <w:rPr>
          <w:rFonts w:ascii="Arial" w:eastAsia="Aptos" w:hAnsi="Arial" w:cs="Arial"/>
          <w:lang w:eastAsia="el-GR"/>
        </w:rPr>
      </w:pPr>
    </w:p>
    <w:p w14:paraId="7B942E6E" w14:textId="5AA60479" w:rsidR="00DC3C0B" w:rsidRPr="001314BA" w:rsidRDefault="39112DE8" w:rsidP="001314BA">
      <w:pPr>
        <w:spacing w:after="0" w:line="360" w:lineRule="auto"/>
        <w:jc w:val="both"/>
        <w:rPr>
          <w:rFonts w:ascii="Arial" w:eastAsia="Arial Unicode MS" w:hAnsi="Arial" w:cs="Arial"/>
        </w:rPr>
      </w:pPr>
      <w:r>
        <w:rPr>
          <w:rFonts w:ascii="Arial" w:hAnsi="Arial"/>
        </w:rPr>
        <w:t>At the same time, within the framework of the implementation of an extended Corporate Social Responsibility program, Attica Group implemented or supported initiatives and social programs across 100% of the islands in which it operates, contributing to the improvement of daily life for local island communities. The total number of beneficiaries more than tripled compared to 2023.</w:t>
      </w:r>
    </w:p>
    <w:p w14:paraId="3D933D90" w14:textId="77777777" w:rsidR="00DC3C0B" w:rsidRPr="001314BA" w:rsidRDefault="00DC3C0B" w:rsidP="001314BA">
      <w:pPr>
        <w:spacing w:after="0" w:line="360" w:lineRule="auto"/>
        <w:jc w:val="both"/>
        <w:rPr>
          <w:rFonts w:ascii="Arial" w:eastAsia="Arial Unicode MS" w:hAnsi="Arial" w:cs="Arial"/>
        </w:rPr>
      </w:pPr>
    </w:p>
    <w:p w14:paraId="0AE2E9E0" w14:textId="15B68EDE" w:rsidR="00D87084" w:rsidRPr="001314BA" w:rsidRDefault="07DDB99A" w:rsidP="001314BA">
      <w:pPr>
        <w:spacing w:after="0" w:line="360" w:lineRule="auto"/>
        <w:jc w:val="both"/>
        <w:rPr>
          <w:rFonts w:ascii="Arial" w:eastAsia="Aptos" w:hAnsi="Arial" w:cs="Arial"/>
        </w:rPr>
      </w:pPr>
      <w:r>
        <w:rPr>
          <w:rFonts w:ascii="Arial" w:hAnsi="Arial"/>
        </w:rPr>
        <w:t>In the</w:t>
      </w:r>
      <w:r>
        <w:rPr>
          <w:rFonts w:ascii="Arial" w:hAnsi="Arial"/>
          <w:b/>
        </w:rPr>
        <w:t xml:space="preserve"> “Corporate Governance”</w:t>
      </w:r>
      <w:r>
        <w:rPr>
          <w:rFonts w:ascii="Arial" w:hAnsi="Arial"/>
        </w:rPr>
        <w:t xml:space="preserve"> pillar</w:t>
      </w:r>
      <w:r>
        <w:rPr>
          <w:rFonts w:ascii="Arial" w:hAnsi="Arial"/>
          <w:b/>
        </w:rPr>
        <w:t xml:space="preserve">, </w:t>
      </w:r>
      <w:r>
        <w:rPr>
          <w:rFonts w:ascii="Arial" w:hAnsi="Arial"/>
        </w:rPr>
        <w:t>Attica Group, committed to transparency and accountability, complies with applicable law and adopts international best practices and standards while having increased the number of relevant indicators it publishes by 91%, compared to 2018.</w:t>
      </w:r>
    </w:p>
    <w:p w14:paraId="73E187DA" w14:textId="77777777" w:rsidR="00620239" w:rsidRPr="001314BA" w:rsidRDefault="00620239" w:rsidP="001314BA">
      <w:pPr>
        <w:spacing w:after="0" w:line="360" w:lineRule="auto"/>
        <w:jc w:val="both"/>
        <w:rPr>
          <w:rFonts w:ascii="Arial" w:eastAsia="Aptos" w:hAnsi="Arial" w:cs="Arial"/>
          <w:b/>
          <w:bCs/>
          <w:lang w:eastAsia="el-GR"/>
        </w:rPr>
      </w:pPr>
    </w:p>
    <w:p w14:paraId="2F7FBDE6" w14:textId="61D31326" w:rsidR="007C66DB" w:rsidRPr="001314BA" w:rsidRDefault="007C66DB" w:rsidP="001314BA">
      <w:pPr>
        <w:spacing w:after="0" w:line="360" w:lineRule="auto"/>
        <w:jc w:val="both"/>
        <w:rPr>
          <w:rFonts w:ascii="Arial" w:eastAsia="Aptos" w:hAnsi="Arial" w:cs="Arial"/>
        </w:rPr>
      </w:pPr>
      <w:r>
        <w:rPr>
          <w:rFonts w:ascii="Arial" w:hAnsi="Arial"/>
        </w:rPr>
        <w:t>You can find the responsible and Sustainable Development Report</w:t>
      </w:r>
      <w:r w:rsidR="009A6625">
        <w:rPr>
          <w:rFonts w:ascii="Arial" w:hAnsi="Arial"/>
        </w:rPr>
        <w:t xml:space="preserve"> </w:t>
      </w:r>
      <w:hyperlink r:id="rId8" w:history="1">
        <w:r w:rsidR="009A6625">
          <w:rPr>
            <w:rStyle w:val="Hyperlink"/>
            <w:rFonts w:ascii="Arial" w:hAnsi="Arial"/>
          </w:rPr>
          <w:t>here</w:t>
        </w:r>
      </w:hyperlink>
      <w:r>
        <w:rPr>
          <w:rFonts w:ascii="Arial" w:hAnsi="Arial"/>
        </w:rPr>
        <w:t xml:space="preserve"> and the summary</w:t>
      </w:r>
      <w:r w:rsidR="006F5035">
        <w:rPr>
          <w:rFonts w:ascii="Arial" w:hAnsi="Arial"/>
        </w:rPr>
        <w:t xml:space="preserve"> </w:t>
      </w:r>
      <w:hyperlink r:id="rId9" w:history="1">
        <w:r w:rsidR="006F5035">
          <w:rPr>
            <w:rStyle w:val="Hyperlink"/>
            <w:rFonts w:ascii="Arial" w:hAnsi="Arial"/>
          </w:rPr>
          <w:t>here</w:t>
        </w:r>
      </w:hyperlink>
      <w:r w:rsidR="006F5035">
        <w:rPr>
          <w:rFonts w:ascii="Arial" w:hAnsi="Arial"/>
        </w:rPr>
        <w:t>.</w:t>
      </w:r>
    </w:p>
    <w:p w14:paraId="0EB43AE5" w14:textId="77777777" w:rsidR="00726EE5" w:rsidRDefault="00726EE5" w:rsidP="001314BA">
      <w:pPr>
        <w:spacing w:after="0" w:line="360" w:lineRule="auto"/>
        <w:rPr>
          <w:rFonts w:ascii="Arial" w:hAnsi="Arial" w:cs="Arial"/>
        </w:rPr>
      </w:pPr>
    </w:p>
    <w:p w14:paraId="21A40BC5" w14:textId="77777777" w:rsidR="00E90339" w:rsidRPr="00E90339" w:rsidRDefault="00E90339" w:rsidP="00E90339">
      <w:pPr>
        <w:spacing w:after="0" w:line="240" w:lineRule="auto"/>
        <w:jc w:val="both"/>
        <w:rPr>
          <w:rFonts w:ascii="Arial" w:eastAsia="Aptos" w:hAnsi="Arial" w:cs="Arial"/>
          <w:i/>
          <w:iCs/>
          <w:sz w:val="20"/>
          <w:szCs w:val="20"/>
          <w:u w:val="single"/>
          <w:lang w:eastAsia="el-GR"/>
        </w:rPr>
      </w:pPr>
      <w:r w:rsidRPr="00E90339">
        <w:rPr>
          <w:rFonts w:ascii="Arial" w:eastAsia="Aptos" w:hAnsi="Arial" w:cs="Arial"/>
          <w:i/>
          <w:iCs/>
          <w:sz w:val="20"/>
          <w:szCs w:val="20"/>
          <w:u w:val="single"/>
          <w:lang w:eastAsia="el-GR"/>
        </w:rPr>
        <w:t>Attica Group in brief</w:t>
      </w:r>
    </w:p>
    <w:p w14:paraId="2D643D97" w14:textId="77777777" w:rsidR="00E90339" w:rsidRPr="00E90339" w:rsidRDefault="00E90339" w:rsidP="00E90339">
      <w:pPr>
        <w:spacing w:after="0" w:line="240" w:lineRule="auto"/>
        <w:jc w:val="both"/>
        <w:rPr>
          <w:rFonts w:ascii="Arial" w:eastAsia="Aptos" w:hAnsi="Arial" w:cs="Arial"/>
          <w:i/>
          <w:iCs/>
          <w:sz w:val="20"/>
          <w:szCs w:val="20"/>
          <w:lang w:eastAsia="el-GR"/>
        </w:rPr>
      </w:pPr>
    </w:p>
    <w:p w14:paraId="799B8618" w14:textId="77777777" w:rsidR="00E90339" w:rsidRPr="00E90339" w:rsidRDefault="00E90339" w:rsidP="00E90339">
      <w:pPr>
        <w:spacing w:after="0" w:line="240" w:lineRule="auto"/>
        <w:jc w:val="both"/>
        <w:rPr>
          <w:rFonts w:ascii="Arial" w:eastAsia="Aptos" w:hAnsi="Arial" w:cs="Arial"/>
          <w:i/>
          <w:iCs/>
          <w:sz w:val="20"/>
          <w:szCs w:val="20"/>
          <w:lang w:eastAsia="el-GR"/>
        </w:rPr>
      </w:pPr>
      <w:r w:rsidRPr="00E90339">
        <w:rPr>
          <w:rFonts w:ascii="Arial" w:eastAsia="Aptos" w:hAnsi="Arial" w:cs="Arial"/>
          <w:i/>
          <w:iCs/>
          <w:sz w:val="20"/>
          <w:szCs w:val="20"/>
          <w:lang w:eastAsia="el-GR"/>
        </w:rPr>
        <w:t>Attica Group is the leading passenger shipping operator in Greece, with a long-standing presence in the Greek and international seas, that ranks amongst the largest passenger shipping companies worldwide.</w:t>
      </w:r>
    </w:p>
    <w:p w14:paraId="5E74486B" w14:textId="77777777" w:rsidR="00E90339" w:rsidRPr="00E90339" w:rsidRDefault="00E90339" w:rsidP="00E90339">
      <w:pPr>
        <w:spacing w:after="0" w:line="240" w:lineRule="auto"/>
        <w:jc w:val="both"/>
        <w:rPr>
          <w:rFonts w:ascii="Arial" w:eastAsia="Aptos" w:hAnsi="Arial" w:cs="Arial"/>
          <w:i/>
          <w:iCs/>
          <w:sz w:val="20"/>
          <w:szCs w:val="20"/>
          <w:lang w:eastAsia="el-GR"/>
        </w:rPr>
      </w:pPr>
    </w:p>
    <w:p w14:paraId="2E0B1AE5" w14:textId="77777777" w:rsidR="00E90339" w:rsidRPr="00E90339" w:rsidRDefault="00E90339" w:rsidP="00E90339">
      <w:pPr>
        <w:spacing w:after="0" w:line="240" w:lineRule="auto"/>
        <w:jc w:val="both"/>
        <w:rPr>
          <w:rFonts w:ascii="Arial" w:hAnsi="Arial" w:cs="Arial"/>
          <w:i/>
          <w:iCs/>
          <w:sz w:val="20"/>
          <w:szCs w:val="20"/>
        </w:rPr>
      </w:pPr>
      <w:r w:rsidRPr="00E90339">
        <w:rPr>
          <w:rFonts w:ascii="Arial" w:eastAsia="Aptos" w:hAnsi="Arial" w:cs="Arial"/>
          <w:i/>
          <w:iCs/>
          <w:sz w:val="20"/>
          <w:szCs w:val="20"/>
          <w:lang w:eastAsia="el-GR"/>
        </w:rPr>
        <w:t xml:space="preserve">Operating under the well – established brands of Superfast Ferries, Blue Star Ferries, Hellenic Seaways and ANEK Lines, with a fleet of 43 vessels and more than 3,000 employees ashore and at sea, Attica Group connects daily, more than 55 destinations, offering high-quality transport services in Greece and international routes (Greece – Italy). </w:t>
      </w:r>
      <w:r w:rsidRPr="00E90339">
        <w:rPr>
          <w:rFonts w:ascii="Arial" w:eastAsia="Aptos" w:hAnsi="Arial" w:cs="Arial"/>
          <w:i/>
          <w:iCs/>
          <w:sz w:val="20"/>
          <w:szCs w:val="20"/>
          <w:lang w:val="en" w:eastAsia="el-GR"/>
        </w:rPr>
        <w:t xml:space="preserve">In recent years, the Group expanded its presence in the tourism sector, by acquiring hotel units on the islands of Tinos (1) and Naxos (2) where it operates, aiming to </w:t>
      </w:r>
      <w:r w:rsidRPr="00E90339">
        <w:rPr>
          <w:rFonts w:ascii="Arial" w:hAnsi="Arial" w:cs="Arial"/>
          <w:i/>
          <w:iCs/>
          <w:sz w:val="20"/>
          <w:szCs w:val="20"/>
        </w:rPr>
        <w:t xml:space="preserve">provide holistic travelling experiences for its clients. </w:t>
      </w:r>
    </w:p>
    <w:p w14:paraId="7B139DDA" w14:textId="77777777" w:rsidR="00E90339" w:rsidRPr="00E90339" w:rsidRDefault="00E90339" w:rsidP="00E90339">
      <w:pPr>
        <w:spacing w:after="0" w:line="240" w:lineRule="auto"/>
        <w:jc w:val="both"/>
        <w:rPr>
          <w:rFonts w:ascii="Arial" w:eastAsia="Aptos" w:hAnsi="Arial" w:cs="Arial"/>
          <w:i/>
          <w:iCs/>
          <w:color w:val="000000" w:themeColor="text1"/>
          <w:sz w:val="20"/>
          <w:szCs w:val="20"/>
          <w:lang w:eastAsia="el-GR"/>
        </w:rPr>
      </w:pPr>
    </w:p>
    <w:p w14:paraId="3A9BAC28" w14:textId="77777777" w:rsidR="00E90339" w:rsidRPr="00E90339" w:rsidRDefault="00E90339" w:rsidP="00E90339">
      <w:pPr>
        <w:spacing w:after="0" w:line="240" w:lineRule="auto"/>
        <w:jc w:val="both"/>
        <w:rPr>
          <w:rFonts w:ascii="Arial" w:eastAsia="Aptos" w:hAnsi="Arial" w:cs="Arial"/>
          <w:i/>
          <w:iCs/>
          <w:color w:val="000000" w:themeColor="text1"/>
          <w:sz w:val="20"/>
          <w:szCs w:val="20"/>
          <w:lang w:eastAsia="el-GR"/>
        </w:rPr>
      </w:pPr>
      <w:r w:rsidRPr="00E90339">
        <w:rPr>
          <w:rFonts w:ascii="Arial" w:eastAsia="Aptos" w:hAnsi="Arial" w:cs="Arial"/>
          <w:i/>
          <w:iCs/>
          <w:color w:val="000000" w:themeColor="text1"/>
          <w:sz w:val="20"/>
          <w:szCs w:val="20"/>
          <w:lang w:eastAsia="el-GR"/>
        </w:rPr>
        <w:t>Growth oriented and consistent to its commitment to incorporate the principles of responsible and sustainable development across the entire range of its business activities and operations, Attica Group invests in practices that minimize its environmental impact while creating value for shareholders, employees and local communities.</w:t>
      </w:r>
    </w:p>
    <w:p w14:paraId="37B500E9" w14:textId="77777777" w:rsidR="00DF4A9F" w:rsidRPr="009D47FA" w:rsidRDefault="00DF4A9F" w:rsidP="00DF4A9F">
      <w:pPr>
        <w:shd w:val="clear" w:color="auto" w:fill="FFFFFF"/>
        <w:spacing w:after="0" w:line="240" w:lineRule="auto"/>
        <w:rPr>
          <w:rFonts w:ascii="Arial" w:hAnsi="Arial" w:cs="Arial"/>
          <w:color w:val="222222"/>
          <w:sz w:val="20"/>
          <w:szCs w:val="20"/>
        </w:rPr>
      </w:pPr>
    </w:p>
    <w:p w14:paraId="35F0C0D0" w14:textId="77777777" w:rsidR="00DF4A9F" w:rsidRPr="009D47FA" w:rsidRDefault="00DF4A9F" w:rsidP="00DF4A9F">
      <w:pPr>
        <w:shd w:val="clear" w:color="auto" w:fill="FFFFFF"/>
        <w:spacing w:after="0" w:line="240" w:lineRule="auto"/>
        <w:rPr>
          <w:rFonts w:ascii="Arial" w:hAnsi="Arial" w:cs="Arial"/>
          <w:color w:val="222222"/>
          <w:sz w:val="20"/>
          <w:szCs w:val="20"/>
        </w:rPr>
      </w:pPr>
    </w:p>
    <w:p w14:paraId="5BAFE5CD" w14:textId="77777777" w:rsidR="00DF4A9F" w:rsidRPr="009D47FA" w:rsidRDefault="00DF4A9F" w:rsidP="00DF4A9F">
      <w:pPr>
        <w:shd w:val="clear" w:color="auto" w:fill="FFFFFF"/>
        <w:spacing w:after="0" w:line="240" w:lineRule="auto"/>
        <w:rPr>
          <w:rFonts w:ascii="Arial" w:hAnsi="Arial" w:cs="Arial"/>
          <w:color w:val="222222"/>
          <w:sz w:val="20"/>
          <w:szCs w:val="20"/>
        </w:rPr>
      </w:pPr>
      <w:r>
        <w:rPr>
          <w:rFonts w:ascii="Arial" w:hAnsi="Arial"/>
          <w:color w:val="222222"/>
          <w:sz w:val="20"/>
        </w:rPr>
        <w:t xml:space="preserve">Contact Details: </w:t>
      </w:r>
    </w:p>
    <w:p w14:paraId="060FE170" w14:textId="77777777" w:rsidR="00DF4A9F" w:rsidRPr="009D47FA" w:rsidRDefault="00DF4A9F" w:rsidP="00DF4A9F">
      <w:pPr>
        <w:shd w:val="clear" w:color="auto" w:fill="FFFFFF" w:themeFill="background1"/>
        <w:spacing w:after="0" w:line="240" w:lineRule="auto"/>
        <w:rPr>
          <w:rFonts w:ascii="Arial" w:hAnsi="Arial" w:cs="Arial"/>
          <w:color w:val="222222"/>
          <w:sz w:val="20"/>
          <w:szCs w:val="20"/>
        </w:rPr>
      </w:pPr>
      <w:r>
        <w:rPr>
          <w:rFonts w:ascii="Arial" w:hAnsi="Arial"/>
          <w:color w:val="222222"/>
          <w:sz w:val="20"/>
        </w:rPr>
        <w:t>Kallia Mylonaki, Corporate Communications Director</w:t>
      </w:r>
    </w:p>
    <w:p w14:paraId="2A4831BF" w14:textId="77777777" w:rsidR="00DF4A9F" w:rsidRPr="009D47FA" w:rsidRDefault="00DF4A9F" w:rsidP="00DF4A9F">
      <w:pPr>
        <w:shd w:val="clear" w:color="auto" w:fill="FFFFFF"/>
        <w:spacing w:after="0" w:line="240" w:lineRule="auto"/>
        <w:rPr>
          <w:rFonts w:ascii="Arial" w:eastAsia="Aptos" w:hAnsi="Arial" w:cs="Arial"/>
          <w:sz w:val="20"/>
          <w:szCs w:val="20"/>
        </w:rPr>
      </w:pPr>
      <w:r>
        <w:rPr>
          <w:rFonts w:ascii="Arial" w:hAnsi="Arial"/>
          <w:color w:val="222222"/>
          <w:sz w:val="20"/>
        </w:rPr>
        <w:t xml:space="preserve">Tel: +30 210 891 9150, email: </w:t>
      </w:r>
      <w:hyperlink r:id="rId10" w:history="1">
        <w:r>
          <w:rPr>
            <w:rStyle w:val="Hyperlink"/>
            <w:rFonts w:ascii="Arial" w:hAnsi="Arial"/>
          </w:rPr>
          <w:t>mylonaki@attica-group.com</w:t>
        </w:r>
      </w:hyperlink>
    </w:p>
    <w:p w14:paraId="64A262ED" w14:textId="77777777" w:rsidR="00DF4A9F" w:rsidRPr="005D70A7" w:rsidRDefault="00DF4A9F">
      <w:pPr>
        <w:rPr>
          <w:rFonts w:ascii="Arial" w:hAnsi="Arial" w:cs="Arial"/>
        </w:rPr>
      </w:pPr>
    </w:p>
    <w:sectPr w:rsidR="00DF4A9F" w:rsidRPr="005D70A7" w:rsidSect="00726EE5">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85984"/>
    <w:multiLevelType w:val="hybridMultilevel"/>
    <w:tmpl w:val="CE60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F0928"/>
    <w:multiLevelType w:val="hybridMultilevel"/>
    <w:tmpl w:val="0276A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6B5F94"/>
    <w:multiLevelType w:val="hybridMultilevel"/>
    <w:tmpl w:val="E4B0B23A"/>
    <w:lvl w:ilvl="0" w:tplc="0409000D">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717E40"/>
    <w:multiLevelType w:val="hybridMultilevel"/>
    <w:tmpl w:val="4B86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0026D"/>
    <w:multiLevelType w:val="hybridMultilevel"/>
    <w:tmpl w:val="7B665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D64BC0"/>
    <w:multiLevelType w:val="hybridMultilevel"/>
    <w:tmpl w:val="A212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15304"/>
    <w:multiLevelType w:val="hybridMultilevel"/>
    <w:tmpl w:val="FFB69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5FD3971"/>
    <w:multiLevelType w:val="hybridMultilevel"/>
    <w:tmpl w:val="A0BA8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42929892">
    <w:abstractNumId w:val="7"/>
  </w:num>
  <w:num w:numId="2" w16cid:durableId="371000557">
    <w:abstractNumId w:val="6"/>
  </w:num>
  <w:num w:numId="3" w16cid:durableId="1642493066">
    <w:abstractNumId w:val="4"/>
  </w:num>
  <w:num w:numId="4" w16cid:durableId="1270968957">
    <w:abstractNumId w:val="5"/>
  </w:num>
  <w:num w:numId="5" w16cid:durableId="787701318">
    <w:abstractNumId w:val="2"/>
  </w:num>
  <w:num w:numId="6" w16cid:durableId="1574850737">
    <w:abstractNumId w:val="3"/>
  </w:num>
  <w:num w:numId="7" w16cid:durableId="428936192">
    <w:abstractNumId w:val="0"/>
  </w:num>
  <w:num w:numId="8" w16cid:durableId="528835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DB"/>
    <w:rsid w:val="00001E0F"/>
    <w:rsid w:val="00002E3A"/>
    <w:rsid w:val="00013308"/>
    <w:rsid w:val="00030D65"/>
    <w:rsid w:val="00034B1F"/>
    <w:rsid w:val="00077D6B"/>
    <w:rsid w:val="00085173"/>
    <w:rsid w:val="000926DE"/>
    <w:rsid w:val="00093E7F"/>
    <w:rsid w:val="000A3B65"/>
    <w:rsid w:val="000B0343"/>
    <w:rsid w:val="000B3142"/>
    <w:rsid w:val="000B7174"/>
    <w:rsid w:val="000C70DE"/>
    <w:rsid w:val="000F718B"/>
    <w:rsid w:val="001003D7"/>
    <w:rsid w:val="00110FDD"/>
    <w:rsid w:val="00114F51"/>
    <w:rsid w:val="0011771D"/>
    <w:rsid w:val="00120B42"/>
    <w:rsid w:val="00122826"/>
    <w:rsid w:val="00124B45"/>
    <w:rsid w:val="00127816"/>
    <w:rsid w:val="001314BA"/>
    <w:rsid w:val="00144BAD"/>
    <w:rsid w:val="00166852"/>
    <w:rsid w:val="001807E8"/>
    <w:rsid w:val="001829DC"/>
    <w:rsid w:val="00183B7C"/>
    <w:rsid w:val="00184058"/>
    <w:rsid w:val="001856BB"/>
    <w:rsid w:val="00191541"/>
    <w:rsid w:val="001A013C"/>
    <w:rsid w:val="001A78A9"/>
    <w:rsid w:val="001D54F1"/>
    <w:rsid w:val="001E5C1F"/>
    <w:rsid w:val="001F7CB3"/>
    <w:rsid w:val="0020111B"/>
    <w:rsid w:val="00226168"/>
    <w:rsid w:val="00227DBD"/>
    <w:rsid w:val="00230EDA"/>
    <w:rsid w:val="00236F70"/>
    <w:rsid w:val="00242314"/>
    <w:rsid w:val="00250DF4"/>
    <w:rsid w:val="0028757A"/>
    <w:rsid w:val="00287BFD"/>
    <w:rsid w:val="002922BD"/>
    <w:rsid w:val="002A1C7F"/>
    <w:rsid w:val="002A72A4"/>
    <w:rsid w:val="002B2C61"/>
    <w:rsid w:val="002B4FB3"/>
    <w:rsid w:val="002C24CF"/>
    <w:rsid w:val="002C2955"/>
    <w:rsid w:val="002D11EB"/>
    <w:rsid w:val="002D3982"/>
    <w:rsid w:val="002E3788"/>
    <w:rsid w:val="002E72A3"/>
    <w:rsid w:val="002F1C13"/>
    <w:rsid w:val="003050C0"/>
    <w:rsid w:val="00324BB8"/>
    <w:rsid w:val="003501DF"/>
    <w:rsid w:val="00360491"/>
    <w:rsid w:val="003728A9"/>
    <w:rsid w:val="00380FBF"/>
    <w:rsid w:val="00387612"/>
    <w:rsid w:val="00396FEC"/>
    <w:rsid w:val="003A7A3A"/>
    <w:rsid w:val="003B3E26"/>
    <w:rsid w:val="003B443D"/>
    <w:rsid w:val="003C197B"/>
    <w:rsid w:val="003D06DA"/>
    <w:rsid w:val="003D271F"/>
    <w:rsid w:val="00416633"/>
    <w:rsid w:val="00432741"/>
    <w:rsid w:val="004359CF"/>
    <w:rsid w:val="00453F83"/>
    <w:rsid w:val="0046435E"/>
    <w:rsid w:val="00471036"/>
    <w:rsid w:val="0048011C"/>
    <w:rsid w:val="00491779"/>
    <w:rsid w:val="00497E39"/>
    <w:rsid w:val="004C4268"/>
    <w:rsid w:val="004D025B"/>
    <w:rsid w:val="004D4C51"/>
    <w:rsid w:val="004D7B4F"/>
    <w:rsid w:val="004F1606"/>
    <w:rsid w:val="00504A99"/>
    <w:rsid w:val="00506680"/>
    <w:rsid w:val="00510D5A"/>
    <w:rsid w:val="0051194D"/>
    <w:rsid w:val="00531C2C"/>
    <w:rsid w:val="005337BC"/>
    <w:rsid w:val="00540287"/>
    <w:rsid w:val="00540534"/>
    <w:rsid w:val="00553F5A"/>
    <w:rsid w:val="00565184"/>
    <w:rsid w:val="005655BC"/>
    <w:rsid w:val="00572224"/>
    <w:rsid w:val="00573793"/>
    <w:rsid w:val="00590978"/>
    <w:rsid w:val="00592B8E"/>
    <w:rsid w:val="0059315C"/>
    <w:rsid w:val="005A174F"/>
    <w:rsid w:val="005B7EEC"/>
    <w:rsid w:val="005C13EA"/>
    <w:rsid w:val="005C5E5C"/>
    <w:rsid w:val="005C725F"/>
    <w:rsid w:val="005D19CC"/>
    <w:rsid w:val="005D70A7"/>
    <w:rsid w:val="005E0230"/>
    <w:rsid w:val="005E13BB"/>
    <w:rsid w:val="005E15E7"/>
    <w:rsid w:val="005E2B34"/>
    <w:rsid w:val="005F04B5"/>
    <w:rsid w:val="005F4D3F"/>
    <w:rsid w:val="005F7F72"/>
    <w:rsid w:val="00600902"/>
    <w:rsid w:val="00602FC3"/>
    <w:rsid w:val="0060642D"/>
    <w:rsid w:val="00620239"/>
    <w:rsid w:val="00622681"/>
    <w:rsid w:val="00643FEF"/>
    <w:rsid w:val="006627F7"/>
    <w:rsid w:val="00667A6E"/>
    <w:rsid w:val="00671AA3"/>
    <w:rsid w:val="00685CE0"/>
    <w:rsid w:val="00690C7B"/>
    <w:rsid w:val="00694286"/>
    <w:rsid w:val="006B2294"/>
    <w:rsid w:val="006B2BE2"/>
    <w:rsid w:val="006D261E"/>
    <w:rsid w:val="006E49CA"/>
    <w:rsid w:val="006E6A59"/>
    <w:rsid w:val="006F4F7F"/>
    <w:rsid w:val="006F5035"/>
    <w:rsid w:val="006F5C94"/>
    <w:rsid w:val="00726EE5"/>
    <w:rsid w:val="00742DE3"/>
    <w:rsid w:val="00743EA2"/>
    <w:rsid w:val="00747176"/>
    <w:rsid w:val="007478E4"/>
    <w:rsid w:val="0076236C"/>
    <w:rsid w:val="00772B24"/>
    <w:rsid w:val="007812FF"/>
    <w:rsid w:val="007816D7"/>
    <w:rsid w:val="0078256E"/>
    <w:rsid w:val="00790731"/>
    <w:rsid w:val="007B4432"/>
    <w:rsid w:val="007B75B8"/>
    <w:rsid w:val="007C66DB"/>
    <w:rsid w:val="007D37AC"/>
    <w:rsid w:val="007F24C0"/>
    <w:rsid w:val="00806F3A"/>
    <w:rsid w:val="00807A99"/>
    <w:rsid w:val="00830764"/>
    <w:rsid w:val="00833FF6"/>
    <w:rsid w:val="00842D13"/>
    <w:rsid w:val="00846F39"/>
    <w:rsid w:val="00850D23"/>
    <w:rsid w:val="00850D6E"/>
    <w:rsid w:val="0085378B"/>
    <w:rsid w:val="00856174"/>
    <w:rsid w:val="008706DF"/>
    <w:rsid w:val="00874262"/>
    <w:rsid w:val="00877917"/>
    <w:rsid w:val="0088785A"/>
    <w:rsid w:val="00894CE2"/>
    <w:rsid w:val="008A0B9A"/>
    <w:rsid w:val="008D1B28"/>
    <w:rsid w:val="008D2DA2"/>
    <w:rsid w:val="008D6231"/>
    <w:rsid w:val="008E0A6A"/>
    <w:rsid w:val="008E4625"/>
    <w:rsid w:val="008E5498"/>
    <w:rsid w:val="00900931"/>
    <w:rsid w:val="009013AD"/>
    <w:rsid w:val="009015E8"/>
    <w:rsid w:val="00903439"/>
    <w:rsid w:val="00912F8C"/>
    <w:rsid w:val="00925181"/>
    <w:rsid w:val="00926A27"/>
    <w:rsid w:val="00930A5B"/>
    <w:rsid w:val="00930CD8"/>
    <w:rsid w:val="00930CF3"/>
    <w:rsid w:val="009372F2"/>
    <w:rsid w:val="00946C07"/>
    <w:rsid w:val="00956613"/>
    <w:rsid w:val="00964946"/>
    <w:rsid w:val="009649BE"/>
    <w:rsid w:val="0096737B"/>
    <w:rsid w:val="00971E13"/>
    <w:rsid w:val="009816CE"/>
    <w:rsid w:val="00986AF1"/>
    <w:rsid w:val="009A6625"/>
    <w:rsid w:val="009A798E"/>
    <w:rsid w:val="009B0151"/>
    <w:rsid w:val="009B441A"/>
    <w:rsid w:val="009B6798"/>
    <w:rsid w:val="009C0568"/>
    <w:rsid w:val="009C2631"/>
    <w:rsid w:val="009D16B6"/>
    <w:rsid w:val="009D7B97"/>
    <w:rsid w:val="009E701D"/>
    <w:rsid w:val="00A06E78"/>
    <w:rsid w:val="00A07335"/>
    <w:rsid w:val="00A11089"/>
    <w:rsid w:val="00A1189E"/>
    <w:rsid w:val="00A372CE"/>
    <w:rsid w:val="00A4134A"/>
    <w:rsid w:val="00A43394"/>
    <w:rsid w:val="00A468A7"/>
    <w:rsid w:val="00A566AF"/>
    <w:rsid w:val="00A6211D"/>
    <w:rsid w:val="00A70FCC"/>
    <w:rsid w:val="00A76E10"/>
    <w:rsid w:val="00A815EA"/>
    <w:rsid w:val="00A82C82"/>
    <w:rsid w:val="00A832A4"/>
    <w:rsid w:val="00A8409C"/>
    <w:rsid w:val="00AA3762"/>
    <w:rsid w:val="00AA6068"/>
    <w:rsid w:val="00AD2353"/>
    <w:rsid w:val="00AE0F04"/>
    <w:rsid w:val="00AE346C"/>
    <w:rsid w:val="00AE3489"/>
    <w:rsid w:val="00AE5915"/>
    <w:rsid w:val="00AF57DA"/>
    <w:rsid w:val="00B021B9"/>
    <w:rsid w:val="00B13896"/>
    <w:rsid w:val="00B13FC8"/>
    <w:rsid w:val="00B40A84"/>
    <w:rsid w:val="00B655DC"/>
    <w:rsid w:val="00B7261F"/>
    <w:rsid w:val="00B843E4"/>
    <w:rsid w:val="00B878CD"/>
    <w:rsid w:val="00B94FDD"/>
    <w:rsid w:val="00B9792D"/>
    <w:rsid w:val="00BA1B72"/>
    <w:rsid w:val="00BB5612"/>
    <w:rsid w:val="00BD6377"/>
    <w:rsid w:val="00BE21F8"/>
    <w:rsid w:val="00BF5E98"/>
    <w:rsid w:val="00BF6CBD"/>
    <w:rsid w:val="00C019A3"/>
    <w:rsid w:val="00C13A89"/>
    <w:rsid w:val="00C22C3E"/>
    <w:rsid w:val="00C4672B"/>
    <w:rsid w:val="00C51A91"/>
    <w:rsid w:val="00C559F1"/>
    <w:rsid w:val="00C63784"/>
    <w:rsid w:val="00C73978"/>
    <w:rsid w:val="00C767E4"/>
    <w:rsid w:val="00C8561B"/>
    <w:rsid w:val="00C86E02"/>
    <w:rsid w:val="00CB7284"/>
    <w:rsid w:val="00CB7515"/>
    <w:rsid w:val="00CC7B13"/>
    <w:rsid w:val="00CE22B8"/>
    <w:rsid w:val="00CE38F2"/>
    <w:rsid w:val="00CE51D1"/>
    <w:rsid w:val="00D0584B"/>
    <w:rsid w:val="00D16248"/>
    <w:rsid w:val="00D3445F"/>
    <w:rsid w:val="00D3491F"/>
    <w:rsid w:val="00D35BE2"/>
    <w:rsid w:val="00D40862"/>
    <w:rsid w:val="00D45C78"/>
    <w:rsid w:val="00D74BE4"/>
    <w:rsid w:val="00D87084"/>
    <w:rsid w:val="00D871FB"/>
    <w:rsid w:val="00D9379A"/>
    <w:rsid w:val="00D94719"/>
    <w:rsid w:val="00DA760D"/>
    <w:rsid w:val="00DB0B5A"/>
    <w:rsid w:val="00DB21E3"/>
    <w:rsid w:val="00DB2E8E"/>
    <w:rsid w:val="00DB4FE1"/>
    <w:rsid w:val="00DC13E4"/>
    <w:rsid w:val="00DC3490"/>
    <w:rsid w:val="00DC3C0B"/>
    <w:rsid w:val="00DC4493"/>
    <w:rsid w:val="00DC7F75"/>
    <w:rsid w:val="00DD2C36"/>
    <w:rsid w:val="00DE3CAF"/>
    <w:rsid w:val="00DE4D0D"/>
    <w:rsid w:val="00DE5D37"/>
    <w:rsid w:val="00DE6B3C"/>
    <w:rsid w:val="00DF4A9F"/>
    <w:rsid w:val="00DF4AD1"/>
    <w:rsid w:val="00DF63E4"/>
    <w:rsid w:val="00E00A67"/>
    <w:rsid w:val="00E07857"/>
    <w:rsid w:val="00E150A2"/>
    <w:rsid w:val="00E33DBC"/>
    <w:rsid w:val="00E44585"/>
    <w:rsid w:val="00E571DB"/>
    <w:rsid w:val="00E61369"/>
    <w:rsid w:val="00E64E27"/>
    <w:rsid w:val="00E761E7"/>
    <w:rsid w:val="00E825B8"/>
    <w:rsid w:val="00E85DB9"/>
    <w:rsid w:val="00E90339"/>
    <w:rsid w:val="00E91F67"/>
    <w:rsid w:val="00E9278F"/>
    <w:rsid w:val="00EA04F4"/>
    <w:rsid w:val="00EA1B29"/>
    <w:rsid w:val="00EA4DB4"/>
    <w:rsid w:val="00EB0F63"/>
    <w:rsid w:val="00EB1887"/>
    <w:rsid w:val="00EB2DB3"/>
    <w:rsid w:val="00EC5BFC"/>
    <w:rsid w:val="00ED5644"/>
    <w:rsid w:val="00EE123E"/>
    <w:rsid w:val="00EE705D"/>
    <w:rsid w:val="00EF12A9"/>
    <w:rsid w:val="00F12375"/>
    <w:rsid w:val="00F61AC9"/>
    <w:rsid w:val="00F63C49"/>
    <w:rsid w:val="00F64248"/>
    <w:rsid w:val="00F64CA8"/>
    <w:rsid w:val="00F768D4"/>
    <w:rsid w:val="00F81355"/>
    <w:rsid w:val="00F8280E"/>
    <w:rsid w:val="00F85583"/>
    <w:rsid w:val="00FA046B"/>
    <w:rsid w:val="00FA1011"/>
    <w:rsid w:val="00FA3DAF"/>
    <w:rsid w:val="00FB493C"/>
    <w:rsid w:val="00FC424B"/>
    <w:rsid w:val="00FE01A3"/>
    <w:rsid w:val="00FE2161"/>
    <w:rsid w:val="00FE360E"/>
    <w:rsid w:val="00FF1A1E"/>
    <w:rsid w:val="07DDB99A"/>
    <w:rsid w:val="093F9342"/>
    <w:rsid w:val="197BAB5F"/>
    <w:rsid w:val="1B928726"/>
    <w:rsid w:val="2E2525BC"/>
    <w:rsid w:val="2EDAD1BB"/>
    <w:rsid w:val="39112DE8"/>
    <w:rsid w:val="45B4C0B5"/>
    <w:rsid w:val="5140326F"/>
    <w:rsid w:val="5F4171F4"/>
    <w:rsid w:val="61D21E84"/>
    <w:rsid w:val="6B41DDAC"/>
    <w:rsid w:val="6B9EFD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49C6"/>
  <w15:chartTrackingRefBased/>
  <w15:docId w15:val="{703DEE7C-24F2-4AFD-9810-8ED8A309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DB"/>
    <w:pPr>
      <w:spacing w:after="200" w:line="276" w:lineRule="auto"/>
    </w:pPr>
    <w:rPr>
      <w:kern w:val="0"/>
      <w:sz w:val="22"/>
      <w:szCs w:val="22"/>
      <w:lang w:bidi="ar-SA"/>
      <w14:ligatures w14:val="none"/>
    </w:rPr>
  </w:style>
  <w:style w:type="paragraph" w:styleId="Heading1">
    <w:name w:val="heading 1"/>
    <w:basedOn w:val="Normal"/>
    <w:next w:val="Normal"/>
    <w:link w:val="Heading1Char"/>
    <w:uiPriority w:val="9"/>
    <w:qFormat/>
    <w:rsid w:val="007C6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6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6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6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6DB"/>
    <w:rPr>
      <w:rFonts w:eastAsiaTheme="majorEastAsia" w:cstheme="majorBidi"/>
      <w:color w:val="272727" w:themeColor="text1" w:themeTint="D8"/>
    </w:rPr>
  </w:style>
  <w:style w:type="paragraph" w:styleId="Title">
    <w:name w:val="Title"/>
    <w:basedOn w:val="Normal"/>
    <w:next w:val="Normal"/>
    <w:link w:val="TitleChar"/>
    <w:uiPriority w:val="10"/>
    <w:qFormat/>
    <w:rsid w:val="007C6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6DB"/>
    <w:pPr>
      <w:spacing w:before="160"/>
      <w:jc w:val="center"/>
    </w:pPr>
    <w:rPr>
      <w:i/>
      <w:iCs/>
      <w:color w:val="404040" w:themeColor="text1" w:themeTint="BF"/>
    </w:rPr>
  </w:style>
  <w:style w:type="character" w:customStyle="1" w:styleId="QuoteChar">
    <w:name w:val="Quote Char"/>
    <w:basedOn w:val="DefaultParagraphFont"/>
    <w:link w:val="Quote"/>
    <w:uiPriority w:val="29"/>
    <w:rsid w:val="007C66DB"/>
    <w:rPr>
      <w:i/>
      <w:iCs/>
      <w:color w:val="404040" w:themeColor="text1" w:themeTint="BF"/>
    </w:rPr>
  </w:style>
  <w:style w:type="paragraph" w:styleId="ListParagraph">
    <w:name w:val="List Paragraph"/>
    <w:basedOn w:val="Normal"/>
    <w:uiPriority w:val="34"/>
    <w:qFormat/>
    <w:rsid w:val="007C66DB"/>
    <w:pPr>
      <w:ind w:left="720"/>
      <w:contextualSpacing/>
    </w:pPr>
  </w:style>
  <w:style w:type="character" w:styleId="IntenseEmphasis">
    <w:name w:val="Intense Emphasis"/>
    <w:basedOn w:val="DefaultParagraphFont"/>
    <w:uiPriority w:val="21"/>
    <w:qFormat/>
    <w:rsid w:val="007C66DB"/>
    <w:rPr>
      <w:i/>
      <w:iCs/>
      <w:color w:val="0F4761" w:themeColor="accent1" w:themeShade="BF"/>
    </w:rPr>
  </w:style>
  <w:style w:type="paragraph" w:styleId="IntenseQuote">
    <w:name w:val="Intense Quote"/>
    <w:basedOn w:val="Normal"/>
    <w:next w:val="Normal"/>
    <w:link w:val="IntenseQuoteChar"/>
    <w:uiPriority w:val="30"/>
    <w:qFormat/>
    <w:rsid w:val="007C6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6DB"/>
    <w:rPr>
      <w:i/>
      <w:iCs/>
      <w:color w:val="0F4761" w:themeColor="accent1" w:themeShade="BF"/>
    </w:rPr>
  </w:style>
  <w:style w:type="character" w:styleId="IntenseReference">
    <w:name w:val="Intense Reference"/>
    <w:basedOn w:val="DefaultParagraphFont"/>
    <w:uiPriority w:val="32"/>
    <w:qFormat/>
    <w:rsid w:val="007C66DB"/>
    <w:rPr>
      <w:b/>
      <w:bCs/>
      <w:smallCaps/>
      <w:color w:val="0F4761" w:themeColor="accent1" w:themeShade="BF"/>
      <w:spacing w:val="5"/>
    </w:rPr>
  </w:style>
  <w:style w:type="character" w:styleId="Hyperlink">
    <w:name w:val="Hyperlink"/>
    <w:basedOn w:val="DefaultParagraphFont"/>
    <w:uiPriority w:val="99"/>
    <w:unhideWhenUsed/>
    <w:rsid w:val="007C66DB"/>
    <w:rPr>
      <w:color w:val="467886" w:themeColor="hyperlink"/>
      <w:u w:val="single"/>
    </w:rPr>
  </w:style>
  <w:style w:type="paragraph" w:styleId="NoSpacing">
    <w:name w:val="No Spacing"/>
    <w:uiPriority w:val="1"/>
    <w:qFormat/>
    <w:rsid w:val="00D35BE2"/>
    <w:pPr>
      <w:spacing w:after="0" w:line="240" w:lineRule="auto"/>
    </w:pPr>
    <w:rPr>
      <w:kern w:val="0"/>
      <w:sz w:val="22"/>
      <w:szCs w:val="22"/>
      <w:lang w:bidi="ar-SA"/>
      <w14:ligatures w14:val="none"/>
    </w:rPr>
  </w:style>
  <w:style w:type="paragraph" w:styleId="Revision">
    <w:name w:val="Revision"/>
    <w:hidden/>
    <w:uiPriority w:val="99"/>
    <w:semiHidden/>
    <w:rsid w:val="00AD2353"/>
    <w:pPr>
      <w:spacing w:after="0" w:line="240" w:lineRule="auto"/>
    </w:pPr>
    <w:rPr>
      <w:kern w:val="0"/>
      <w:sz w:val="22"/>
      <w:szCs w:val="22"/>
      <w:lang w:bidi="ar-SA"/>
      <w14:ligatures w14:val="none"/>
    </w:rPr>
  </w:style>
  <w:style w:type="character" w:styleId="CommentReference">
    <w:name w:val="annotation reference"/>
    <w:basedOn w:val="DefaultParagraphFont"/>
    <w:uiPriority w:val="99"/>
    <w:semiHidden/>
    <w:unhideWhenUsed/>
    <w:rsid w:val="00AD2353"/>
    <w:rPr>
      <w:sz w:val="16"/>
      <w:szCs w:val="16"/>
    </w:rPr>
  </w:style>
  <w:style w:type="paragraph" w:styleId="CommentText">
    <w:name w:val="annotation text"/>
    <w:basedOn w:val="Normal"/>
    <w:link w:val="CommentTextChar"/>
    <w:uiPriority w:val="99"/>
    <w:unhideWhenUsed/>
    <w:rsid w:val="00AD2353"/>
    <w:pPr>
      <w:spacing w:line="240" w:lineRule="auto"/>
    </w:pPr>
    <w:rPr>
      <w:sz w:val="20"/>
      <w:szCs w:val="20"/>
    </w:rPr>
  </w:style>
  <w:style w:type="character" w:customStyle="1" w:styleId="CommentTextChar">
    <w:name w:val="Comment Text Char"/>
    <w:basedOn w:val="DefaultParagraphFont"/>
    <w:link w:val="CommentText"/>
    <w:uiPriority w:val="99"/>
    <w:rsid w:val="00AD2353"/>
    <w:rPr>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AD2353"/>
    <w:rPr>
      <w:b/>
      <w:bCs/>
    </w:rPr>
  </w:style>
  <w:style w:type="character" w:customStyle="1" w:styleId="CommentSubjectChar">
    <w:name w:val="Comment Subject Char"/>
    <w:basedOn w:val="CommentTextChar"/>
    <w:link w:val="CommentSubject"/>
    <w:uiPriority w:val="99"/>
    <w:semiHidden/>
    <w:rsid w:val="00AD2353"/>
    <w:rPr>
      <w:b/>
      <w:bCs/>
      <w:kern w:val="0"/>
      <w:sz w:val="20"/>
      <w:szCs w:val="20"/>
      <w:lang w:val="en-US" w:bidi="ar-SA"/>
      <w14:ligatures w14:val="none"/>
    </w:rPr>
  </w:style>
  <w:style w:type="character" w:styleId="UnresolvedMention">
    <w:name w:val="Unresolved Mention"/>
    <w:basedOn w:val="DefaultParagraphFont"/>
    <w:uiPriority w:val="99"/>
    <w:semiHidden/>
    <w:unhideWhenUsed/>
    <w:rsid w:val="00874262"/>
    <w:rPr>
      <w:color w:val="605E5C"/>
      <w:shd w:val="clear" w:color="auto" w:fill="E1DFDD"/>
    </w:rPr>
  </w:style>
  <w:style w:type="character" w:styleId="FollowedHyperlink">
    <w:name w:val="FollowedHyperlink"/>
    <w:basedOn w:val="DefaultParagraphFont"/>
    <w:uiPriority w:val="99"/>
    <w:semiHidden/>
    <w:unhideWhenUsed/>
    <w:rsid w:val="008E54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6599">
      <w:bodyDiv w:val="1"/>
      <w:marLeft w:val="0"/>
      <w:marRight w:val="0"/>
      <w:marTop w:val="0"/>
      <w:marBottom w:val="0"/>
      <w:divBdr>
        <w:top w:val="none" w:sz="0" w:space="0" w:color="auto"/>
        <w:left w:val="none" w:sz="0" w:space="0" w:color="auto"/>
        <w:bottom w:val="none" w:sz="0" w:space="0" w:color="auto"/>
        <w:right w:val="none" w:sz="0" w:space="0" w:color="auto"/>
      </w:divBdr>
      <w:divsChild>
        <w:div w:id="1392776920">
          <w:marLeft w:val="0"/>
          <w:marRight w:val="0"/>
          <w:marTop w:val="0"/>
          <w:marBottom w:val="0"/>
          <w:divBdr>
            <w:top w:val="none" w:sz="0" w:space="0" w:color="auto"/>
            <w:left w:val="none" w:sz="0" w:space="0" w:color="auto"/>
            <w:bottom w:val="none" w:sz="0" w:space="0" w:color="auto"/>
            <w:right w:val="none" w:sz="0" w:space="0" w:color="auto"/>
          </w:divBdr>
        </w:div>
        <w:div w:id="1725251071">
          <w:marLeft w:val="0"/>
          <w:marRight w:val="0"/>
          <w:marTop w:val="0"/>
          <w:marBottom w:val="0"/>
          <w:divBdr>
            <w:top w:val="none" w:sz="0" w:space="0" w:color="auto"/>
            <w:left w:val="none" w:sz="0" w:space="0" w:color="auto"/>
            <w:bottom w:val="none" w:sz="0" w:space="0" w:color="auto"/>
            <w:right w:val="none" w:sz="0" w:space="0" w:color="auto"/>
          </w:divBdr>
        </w:div>
        <w:div w:id="1957521738">
          <w:marLeft w:val="0"/>
          <w:marRight w:val="0"/>
          <w:marTop w:val="0"/>
          <w:marBottom w:val="0"/>
          <w:divBdr>
            <w:top w:val="none" w:sz="0" w:space="0" w:color="auto"/>
            <w:left w:val="none" w:sz="0" w:space="0" w:color="auto"/>
            <w:bottom w:val="none" w:sz="0" w:space="0" w:color="auto"/>
            <w:right w:val="none" w:sz="0" w:space="0" w:color="auto"/>
          </w:divBdr>
        </w:div>
        <w:div w:id="2080054927">
          <w:marLeft w:val="0"/>
          <w:marRight w:val="0"/>
          <w:marTop w:val="0"/>
          <w:marBottom w:val="0"/>
          <w:divBdr>
            <w:top w:val="none" w:sz="0" w:space="0" w:color="auto"/>
            <w:left w:val="none" w:sz="0" w:space="0" w:color="auto"/>
            <w:bottom w:val="none" w:sz="0" w:space="0" w:color="auto"/>
            <w:right w:val="none" w:sz="0" w:space="0" w:color="auto"/>
          </w:divBdr>
        </w:div>
      </w:divsChild>
    </w:div>
    <w:div w:id="625820253">
      <w:bodyDiv w:val="1"/>
      <w:marLeft w:val="0"/>
      <w:marRight w:val="0"/>
      <w:marTop w:val="0"/>
      <w:marBottom w:val="0"/>
      <w:divBdr>
        <w:top w:val="none" w:sz="0" w:space="0" w:color="auto"/>
        <w:left w:val="none" w:sz="0" w:space="0" w:color="auto"/>
        <w:bottom w:val="none" w:sz="0" w:space="0" w:color="auto"/>
        <w:right w:val="none" w:sz="0" w:space="0" w:color="auto"/>
      </w:divBdr>
    </w:div>
    <w:div w:id="2038264707">
      <w:bodyDiv w:val="1"/>
      <w:marLeft w:val="0"/>
      <w:marRight w:val="0"/>
      <w:marTop w:val="0"/>
      <w:marBottom w:val="0"/>
      <w:divBdr>
        <w:top w:val="none" w:sz="0" w:space="0" w:color="auto"/>
        <w:left w:val="none" w:sz="0" w:space="0" w:color="auto"/>
        <w:bottom w:val="none" w:sz="0" w:space="0" w:color="auto"/>
        <w:right w:val="none" w:sz="0" w:space="0" w:color="auto"/>
      </w:divBdr>
    </w:div>
    <w:div w:id="2136481705">
      <w:bodyDiv w:val="1"/>
      <w:marLeft w:val="0"/>
      <w:marRight w:val="0"/>
      <w:marTop w:val="0"/>
      <w:marBottom w:val="0"/>
      <w:divBdr>
        <w:top w:val="none" w:sz="0" w:space="0" w:color="auto"/>
        <w:left w:val="none" w:sz="0" w:space="0" w:color="auto"/>
        <w:bottom w:val="none" w:sz="0" w:space="0" w:color="auto"/>
        <w:right w:val="none" w:sz="0" w:space="0" w:color="auto"/>
      </w:divBdr>
      <w:divsChild>
        <w:div w:id="270167375">
          <w:marLeft w:val="0"/>
          <w:marRight w:val="0"/>
          <w:marTop w:val="0"/>
          <w:marBottom w:val="0"/>
          <w:divBdr>
            <w:top w:val="none" w:sz="0" w:space="0" w:color="auto"/>
            <w:left w:val="none" w:sz="0" w:space="0" w:color="auto"/>
            <w:bottom w:val="none" w:sz="0" w:space="0" w:color="auto"/>
            <w:right w:val="none" w:sz="0" w:space="0" w:color="auto"/>
          </w:divBdr>
        </w:div>
        <w:div w:id="313415554">
          <w:marLeft w:val="0"/>
          <w:marRight w:val="0"/>
          <w:marTop w:val="0"/>
          <w:marBottom w:val="0"/>
          <w:divBdr>
            <w:top w:val="none" w:sz="0" w:space="0" w:color="auto"/>
            <w:left w:val="none" w:sz="0" w:space="0" w:color="auto"/>
            <w:bottom w:val="none" w:sz="0" w:space="0" w:color="auto"/>
            <w:right w:val="none" w:sz="0" w:space="0" w:color="auto"/>
          </w:divBdr>
        </w:div>
        <w:div w:id="1127311494">
          <w:marLeft w:val="0"/>
          <w:marRight w:val="0"/>
          <w:marTop w:val="0"/>
          <w:marBottom w:val="0"/>
          <w:divBdr>
            <w:top w:val="none" w:sz="0" w:space="0" w:color="auto"/>
            <w:left w:val="none" w:sz="0" w:space="0" w:color="auto"/>
            <w:bottom w:val="none" w:sz="0" w:space="0" w:color="auto"/>
            <w:right w:val="none" w:sz="0" w:space="0" w:color="auto"/>
          </w:divBdr>
        </w:div>
        <w:div w:id="118845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yflip.com/koes/xzyw/" TargetMode="External"/><Relationship Id="rId3" Type="http://schemas.openxmlformats.org/officeDocument/2006/relationships/styles" Target="styles.xml"/><Relationship Id="rId7" Type="http://schemas.openxmlformats.org/officeDocument/2006/relationships/hyperlink" Target="https://anyflip.com/koes/xzy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ylonaki@attica-group.com" TargetMode="External"/><Relationship Id="rId4" Type="http://schemas.openxmlformats.org/officeDocument/2006/relationships/settings" Target="settings.xml"/><Relationship Id="rId9" Type="http://schemas.openxmlformats.org/officeDocument/2006/relationships/hyperlink" Target="https://www.attica-group.com/storage/media/esg-publications/cr-summary-attica-group-english-24-v2-gCx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D085-B2B4-4FE9-BF50-50A0DDEB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Links>
    <vt:vector size="24" baseType="variant">
      <vt:variant>
        <vt:i4>2883657</vt:i4>
      </vt:variant>
      <vt:variant>
        <vt:i4>9</vt:i4>
      </vt:variant>
      <vt:variant>
        <vt:i4>0</vt:i4>
      </vt:variant>
      <vt:variant>
        <vt:i4>5</vt:i4>
      </vt:variant>
      <vt:variant>
        <vt:lpwstr>mailto:mylonaki@attica-group.com</vt:lpwstr>
      </vt:variant>
      <vt:variant>
        <vt:lpwstr/>
      </vt:variant>
      <vt:variant>
        <vt:i4>6619251</vt:i4>
      </vt:variant>
      <vt:variant>
        <vt:i4>6</vt:i4>
      </vt:variant>
      <vt:variant>
        <vt:i4>0</vt:i4>
      </vt:variant>
      <vt:variant>
        <vt:i4>5</vt:i4>
      </vt:variant>
      <vt:variant>
        <vt:lpwstr>https://www.attica-group.com/storage/media/esg-publications/cr-summary-attica-group-greek-24-v4-1-fuRy.pdf</vt:lpwstr>
      </vt:variant>
      <vt:variant>
        <vt:lpwstr/>
      </vt:variant>
      <vt:variant>
        <vt:i4>2818172</vt:i4>
      </vt:variant>
      <vt:variant>
        <vt:i4>3</vt:i4>
      </vt:variant>
      <vt:variant>
        <vt:i4>0</vt:i4>
      </vt:variant>
      <vt:variant>
        <vt:i4>5</vt:i4>
      </vt:variant>
      <vt:variant>
        <vt:lpwstr>https://anyflip.com/koes/upsg/</vt:lpwstr>
      </vt:variant>
      <vt:variant>
        <vt:lpwstr/>
      </vt:variant>
      <vt:variant>
        <vt:i4>2818172</vt:i4>
      </vt:variant>
      <vt:variant>
        <vt:i4>0</vt:i4>
      </vt:variant>
      <vt:variant>
        <vt:i4>0</vt:i4>
      </vt:variant>
      <vt:variant>
        <vt:i4>5</vt:i4>
      </vt:variant>
      <vt:variant>
        <vt:lpwstr>https://anyflip.com/koes/upsg/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Tsevas</dc:creator>
  <cp:keywords/>
  <dc:description/>
  <cp:lastModifiedBy>Anagnostopoulou Elena</cp:lastModifiedBy>
  <cp:revision>249</cp:revision>
  <dcterms:created xsi:type="dcterms:W3CDTF">2025-06-28T17:54:00Z</dcterms:created>
  <dcterms:modified xsi:type="dcterms:W3CDTF">2025-08-26T10:47:00Z</dcterms:modified>
</cp:coreProperties>
</file>